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C6E" w:rsidRPr="00AF6C6E" w:rsidRDefault="00AF6C6E" w:rsidP="00AF6C6E">
      <w:pPr>
        <w:spacing w:after="100" w:afterAutospacing="1" w:line="240" w:lineRule="auto"/>
        <w:ind w:left="450"/>
        <w:rPr>
          <w:rFonts w:ascii="Trebuchet MS" w:eastAsia="Times New Roman" w:hAnsi="Trebuchet MS" w:cs="Times New Roman"/>
          <w:color w:val="000000"/>
          <w:sz w:val="17"/>
          <w:szCs w:val="17"/>
          <w:lang w:eastAsia="fr-FR"/>
        </w:rPr>
      </w:pPr>
      <w:r w:rsidRPr="00AF6C6E">
        <w:rPr>
          <w:rFonts w:ascii="Trebuchet MS" w:eastAsia="Times New Roman" w:hAnsi="Trebuchet MS" w:cs="Times New Roman"/>
          <w:b/>
          <w:bCs/>
          <w:color w:val="000000"/>
          <w:sz w:val="17"/>
          <w:szCs w:val="17"/>
          <w:lang w:eastAsia="fr-FR"/>
        </w:rPr>
        <w:t>Le trouble psychomoteur se manifeste à la fois dans la façon dont le sujet est engagé dans l'action et dans la relation avec autrui. Les troubles psychomoteurs sont des troubles neurodéveloppementaux qui affectent l'adaptation du sujet dans sa dimension perceptivo-motrice. Leurs étiologies sont plurifactorielles et transactionnelles associant des facteurs génétiques, neurobiologiques, psychologiques et/ou psychosociaux qui agissent à différents niveaux de complémentarité et d'expression. Ils sont souvent situationnels et discrets, entravant en priorité les mécanismes d'adaptation, constituant une source de désagrément et de souffrance pour le sujet et son milieu social. Leur analyse clinique s'appuie sur une connaissance référentielle approfondie du développement normal. Elle nécessite des investigations spécifiques dont l'examen psychomoteur, pour appréhender les aspects qualitatifs et quantitatifs des perceptions, des représentations et des actions du sujet.</w:t>
      </w:r>
      <w:r w:rsidRPr="00AF6C6E">
        <w:rPr>
          <w:rFonts w:ascii="Trebuchet MS" w:eastAsia="Times New Roman" w:hAnsi="Trebuchet MS" w:cs="Times New Roman"/>
          <w:b/>
          <w:bCs/>
          <w:color w:val="000000"/>
          <w:sz w:val="17"/>
          <w:szCs w:val="17"/>
          <w:lang w:eastAsia="fr-FR"/>
        </w:rPr>
        <w:br/>
        <w:t>Les principaux troubles psychomoteurs sont :</w:t>
      </w:r>
      <w:r w:rsidRPr="00AF6C6E">
        <w:rPr>
          <w:rFonts w:ascii="Trebuchet MS" w:eastAsia="Times New Roman" w:hAnsi="Trebuchet MS" w:cs="Times New Roman"/>
          <w:b/>
          <w:bCs/>
          <w:color w:val="000000"/>
          <w:sz w:val="17"/>
          <w:szCs w:val="17"/>
          <w:lang w:eastAsia="fr-FR"/>
        </w:rPr>
        <w:br/>
        <w:t>· le trouble déficitaire de l'attention/hyperactivité,</w:t>
      </w:r>
      <w:r w:rsidRPr="00AF6C6E">
        <w:rPr>
          <w:rFonts w:ascii="Trebuchet MS" w:eastAsia="Times New Roman" w:hAnsi="Trebuchet MS" w:cs="Times New Roman"/>
          <w:b/>
          <w:bCs/>
          <w:color w:val="000000"/>
          <w:sz w:val="17"/>
          <w:szCs w:val="17"/>
          <w:lang w:eastAsia="fr-FR"/>
        </w:rPr>
        <w:br/>
        <w:t>· le trouble de l'acquisition de la coordination (dyspraxies de développement),</w:t>
      </w:r>
      <w:r w:rsidRPr="00AF6C6E">
        <w:rPr>
          <w:rFonts w:ascii="Trebuchet MS" w:eastAsia="Times New Roman" w:hAnsi="Trebuchet MS" w:cs="Times New Roman"/>
          <w:b/>
          <w:bCs/>
          <w:color w:val="000000"/>
          <w:sz w:val="17"/>
          <w:szCs w:val="17"/>
          <w:lang w:eastAsia="fr-FR"/>
        </w:rPr>
        <w:br/>
        <w:t>· les dysgraphies de développement,</w:t>
      </w:r>
      <w:r w:rsidRPr="00AF6C6E">
        <w:rPr>
          <w:rFonts w:ascii="Trebuchet MS" w:eastAsia="Times New Roman" w:hAnsi="Trebuchet MS" w:cs="Times New Roman"/>
          <w:b/>
          <w:bCs/>
          <w:color w:val="000000"/>
          <w:sz w:val="17"/>
          <w:szCs w:val="17"/>
          <w:lang w:eastAsia="fr-FR"/>
        </w:rPr>
        <w:br/>
        <w:t>· les incapacités d'apprentissage non verbal,</w:t>
      </w:r>
      <w:r w:rsidRPr="00AF6C6E">
        <w:rPr>
          <w:rFonts w:ascii="Trebuchet MS" w:eastAsia="Times New Roman" w:hAnsi="Trebuchet MS" w:cs="Times New Roman"/>
          <w:b/>
          <w:bCs/>
          <w:color w:val="000000"/>
          <w:sz w:val="17"/>
          <w:szCs w:val="17"/>
          <w:lang w:eastAsia="fr-FR"/>
        </w:rPr>
        <w:br/>
        <w:t>· les troubles spatiaux,</w:t>
      </w:r>
      <w:r w:rsidRPr="00AF6C6E">
        <w:rPr>
          <w:rFonts w:ascii="Trebuchet MS" w:eastAsia="Times New Roman" w:hAnsi="Trebuchet MS" w:cs="Times New Roman"/>
          <w:b/>
          <w:bCs/>
          <w:color w:val="000000"/>
          <w:sz w:val="17"/>
          <w:szCs w:val="17"/>
          <w:lang w:eastAsia="fr-FR"/>
        </w:rPr>
        <w:br/>
        <w:t>· les mouvements anormaux,</w:t>
      </w:r>
      <w:r w:rsidRPr="00AF6C6E">
        <w:rPr>
          <w:rFonts w:ascii="Trebuchet MS" w:eastAsia="Times New Roman" w:hAnsi="Trebuchet MS" w:cs="Times New Roman"/>
          <w:b/>
          <w:bCs/>
          <w:color w:val="000000"/>
          <w:sz w:val="17"/>
          <w:szCs w:val="17"/>
          <w:lang w:eastAsia="fr-FR"/>
        </w:rPr>
        <w:br/>
        <w:t>· les troubles de la dominance latérale,</w:t>
      </w:r>
      <w:r w:rsidRPr="00AF6C6E">
        <w:rPr>
          <w:rFonts w:ascii="Trebuchet MS" w:eastAsia="Times New Roman" w:hAnsi="Trebuchet MS" w:cs="Times New Roman"/>
          <w:b/>
          <w:bCs/>
          <w:color w:val="000000"/>
          <w:sz w:val="17"/>
          <w:szCs w:val="17"/>
          <w:lang w:eastAsia="fr-FR"/>
        </w:rPr>
        <w:br/>
        <w:t>· les troubles du tonus musculaire.</w:t>
      </w:r>
      <w:r w:rsidRPr="00AF6C6E">
        <w:rPr>
          <w:rFonts w:ascii="Trebuchet MS" w:eastAsia="Times New Roman" w:hAnsi="Trebuchet MS" w:cs="Times New Roman"/>
          <w:b/>
          <w:bCs/>
          <w:color w:val="000000"/>
          <w:sz w:val="17"/>
          <w:szCs w:val="17"/>
          <w:lang w:eastAsia="fr-FR"/>
        </w:rPr>
        <w:br/>
        <w:t>Les caractéristiques de ces troubles sont les suivantes :</w:t>
      </w:r>
      <w:r w:rsidRPr="00AF6C6E">
        <w:rPr>
          <w:rFonts w:ascii="Trebuchet MS" w:eastAsia="Times New Roman" w:hAnsi="Trebuchet MS" w:cs="Times New Roman"/>
          <w:b/>
          <w:bCs/>
          <w:color w:val="000000"/>
          <w:sz w:val="17"/>
          <w:szCs w:val="17"/>
          <w:lang w:eastAsia="fr-FR"/>
        </w:rPr>
        <w:br/>
        <w:t>1) ce sont des troubles perceptivo-moteurs qui affectent les différentes fonctions d’exploration (aspects perceptifs), d’action (sur le milieu physique), de communication (notamment dans ses aspects non verbaux) et les manifestations émotionnelles ;</w:t>
      </w:r>
      <w:r w:rsidRPr="00AF6C6E">
        <w:rPr>
          <w:rFonts w:ascii="Trebuchet MS" w:eastAsia="Times New Roman" w:hAnsi="Trebuchet MS" w:cs="Times New Roman"/>
          <w:b/>
          <w:bCs/>
          <w:color w:val="000000"/>
          <w:sz w:val="17"/>
          <w:szCs w:val="17"/>
          <w:lang w:eastAsia="fr-FR"/>
        </w:rPr>
        <w:br/>
        <w:t>2) ils se manifestent par des signes neurologiques doux qui signent l'existence d'un dysfonctionnement cérébral a minima ;</w:t>
      </w:r>
      <w:r w:rsidRPr="00AF6C6E">
        <w:rPr>
          <w:rFonts w:ascii="Trebuchet MS" w:eastAsia="Times New Roman" w:hAnsi="Trebuchet MS" w:cs="Times New Roman"/>
          <w:b/>
          <w:bCs/>
          <w:color w:val="000000"/>
          <w:sz w:val="17"/>
          <w:szCs w:val="17"/>
          <w:lang w:eastAsia="fr-FR"/>
        </w:rPr>
        <w:br/>
        <w:t>3) ils sont associés à un complexe psychopathologique, comportant des facteurs émotionnels pouvant aller jusqu’à un véritable trouble psychiatrique qui soulève la question des comorbidités ;</w:t>
      </w:r>
      <w:r w:rsidRPr="00AF6C6E">
        <w:rPr>
          <w:rFonts w:ascii="Trebuchet MS" w:eastAsia="Times New Roman" w:hAnsi="Trebuchet MS" w:cs="Times New Roman"/>
          <w:b/>
          <w:bCs/>
          <w:color w:val="000000"/>
          <w:sz w:val="17"/>
          <w:szCs w:val="17"/>
          <w:lang w:eastAsia="fr-FR"/>
        </w:rPr>
        <w:br/>
        <w:t>4) ils demandent une analyse des différentes dimensions (biologique ou organique, écologique, intentionnelle ou téléologique) pour permettre la prise en compte de la pluralité étiologique (Albaret, 2001 ; Corraze, 1981, 1999, 2010).</w:t>
      </w:r>
      <w:r w:rsidRPr="00AF6C6E">
        <w:rPr>
          <w:rFonts w:ascii="Trebuchet MS" w:eastAsia="Times New Roman" w:hAnsi="Trebuchet MS" w:cs="Times New Roman"/>
          <w:b/>
          <w:bCs/>
          <w:color w:val="000000"/>
          <w:sz w:val="17"/>
          <w:szCs w:val="17"/>
          <w:lang w:eastAsia="fr-FR"/>
        </w:rPr>
        <w:br/>
      </w:r>
      <w:r w:rsidRPr="00AF6C6E">
        <w:rPr>
          <w:rFonts w:ascii="Trebuchet MS" w:eastAsia="Times New Roman" w:hAnsi="Trebuchet MS" w:cs="Times New Roman"/>
          <w:b/>
          <w:bCs/>
          <w:color w:val="000000"/>
          <w:sz w:val="17"/>
          <w:szCs w:val="17"/>
          <w:lang w:eastAsia="fr-FR"/>
        </w:rPr>
        <w:br/>
      </w:r>
      <w:r w:rsidRPr="00AF6C6E">
        <w:rPr>
          <w:rFonts w:ascii="Trebuchet MS" w:eastAsia="Times New Roman" w:hAnsi="Trebuchet MS" w:cs="Times New Roman"/>
          <w:b/>
          <w:bCs/>
          <w:noProof/>
          <w:color w:val="000000"/>
          <w:sz w:val="17"/>
          <w:szCs w:val="17"/>
          <w:lang w:eastAsia="fr-FR"/>
        </w:rPr>
        <w:drawing>
          <wp:inline distT="0" distB="0" distL="0" distR="0">
            <wp:extent cx="3459480" cy="1516380"/>
            <wp:effectExtent l="0" t="0" r="7620" b="7620"/>
            <wp:docPr id="1" name="Image 1" descr="http://www.psychomot.ups-tlse.fr/T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sychomot.ups-tlse.fr/Tbl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9480" cy="1516380"/>
                    </a:xfrm>
                    <a:prstGeom prst="rect">
                      <a:avLst/>
                    </a:prstGeom>
                    <a:noFill/>
                    <a:ln>
                      <a:noFill/>
                    </a:ln>
                  </pic:spPr>
                </pic:pic>
              </a:graphicData>
            </a:graphic>
          </wp:inline>
        </w:drawing>
      </w:r>
      <w:r w:rsidRPr="00AF6C6E">
        <w:rPr>
          <w:rFonts w:ascii="Trebuchet MS" w:eastAsia="Times New Roman" w:hAnsi="Trebuchet MS" w:cs="Times New Roman"/>
          <w:b/>
          <w:bCs/>
          <w:color w:val="000000"/>
          <w:sz w:val="17"/>
          <w:szCs w:val="17"/>
          <w:lang w:eastAsia="fr-FR"/>
        </w:rPr>
        <w:br/>
        <w:t>La rééducation psychomotrice se centre sur l'action du sujet. Il est de règle de considérer que les thérapies des troubles psychomoteurs sont multimodales. Les thérapies sont, d'une part, spécifiques, définies par un champ d'application stricte donc en rapport avec des indications précises et, d'autre part, agissent à des niveaux différents et donc sont complémentaires. Elle est adaptée à la nature du symptôme : on ne traite pas par les mêmes moyens une dyspraxie, une dysgraphie, un trouble de l'attention, un tic moteur, un trouble des communications non-verbales, etc. La mutimodalité peut ainsi comporter une thérapeutique chimique et une intervention psychothérapique, comme dans les tics ou dans le Trouble déficitaire de l'attention/hyperactivité. Quand il existe des facteurs affectifs et sociaux associés, il convient d'y adjoindre une autre thérapie spécifique.</w:t>
      </w:r>
      <w:r w:rsidRPr="00AF6C6E">
        <w:rPr>
          <w:rFonts w:ascii="Trebuchet MS" w:eastAsia="Times New Roman" w:hAnsi="Trebuchet MS" w:cs="Times New Roman"/>
          <w:b/>
          <w:bCs/>
          <w:color w:val="000000"/>
          <w:sz w:val="17"/>
          <w:szCs w:val="17"/>
          <w:lang w:eastAsia="fr-FR"/>
        </w:rPr>
        <w:br/>
      </w:r>
      <w:r w:rsidRPr="00AF6C6E">
        <w:rPr>
          <w:rFonts w:ascii="Trebuchet MS" w:eastAsia="Times New Roman" w:hAnsi="Trebuchet MS" w:cs="Times New Roman"/>
          <w:b/>
          <w:bCs/>
          <w:color w:val="000000"/>
          <w:sz w:val="17"/>
          <w:szCs w:val="17"/>
          <w:lang w:eastAsia="fr-FR"/>
        </w:rPr>
        <w:br/>
        <w:t>La notion de "thérapie à médiation corporelle", de ce fait, est un terme vague qui confond des niveaux divers d'intervention. Le corps a des dimensions cognitives, affectives, perceptives, motrices et communicatives dont l'intégration se fait à des organisations différentes. On peut considérer que les thérapies psychomotrices se situent selon un continuum à l'extrémité duquel on pourrait placer les psychothérapies verbales et à l'autre le biofeedback. A côté de l'aspect purement instrumental de la thérapie, portant sur la réorganisation du geste par exemple, les mécanismes cognitifs et affectifs sont également pris en compte et jouent un rôle important dans la recherche de l'amélioration symptomatique. Les contre indications ne peuvent par conséquent se définir de façon absolue, il n'y a que des indications mal posées. L'erreur la plus grossière résulte d'un réductionnisme qui affirme qu'il n'existe qu'une cause, ce qui n'a d'ailleurs aucun sens, et une thérapie passe-partout.</w:t>
      </w:r>
    </w:p>
    <w:p w:rsidR="00F14039" w:rsidRDefault="00AF6C6E" w:rsidP="00AF6C6E">
      <w:r w:rsidRPr="00AF6C6E">
        <w:rPr>
          <w:rFonts w:ascii="Trebuchet MS" w:eastAsia="Times New Roman" w:hAnsi="Trebuchet MS" w:cs="Times New Roman"/>
          <w:b/>
          <w:bCs/>
          <w:color w:val="000000"/>
          <w:sz w:val="17"/>
          <w:szCs w:val="17"/>
          <w:lang w:eastAsia="fr-FR"/>
        </w:rPr>
        <w:t>Albaret, J.-M. (2001). Les troubles psychomoteurs chez l'enfant. </w:t>
      </w:r>
      <w:r w:rsidRPr="00AF6C6E">
        <w:rPr>
          <w:rFonts w:ascii="Trebuchet MS" w:eastAsia="Times New Roman" w:hAnsi="Trebuchet MS" w:cs="Times New Roman"/>
          <w:b/>
          <w:bCs/>
          <w:i/>
          <w:iCs/>
          <w:color w:val="000000"/>
          <w:sz w:val="17"/>
          <w:szCs w:val="17"/>
          <w:lang w:eastAsia="fr-FR"/>
        </w:rPr>
        <w:t>Encyclopédie Médico-Chirurgicale</w:t>
      </w:r>
      <w:r w:rsidRPr="00AF6C6E">
        <w:rPr>
          <w:rFonts w:ascii="Trebuchet MS" w:eastAsia="Times New Roman" w:hAnsi="Trebuchet MS" w:cs="Times New Roman"/>
          <w:b/>
          <w:bCs/>
          <w:color w:val="000000"/>
          <w:sz w:val="17"/>
          <w:szCs w:val="17"/>
          <w:lang w:eastAsia="fr-FR"/>
        </w:rPr>
        <w:t>, Pédiatrie, 4-101-H-30, Psychiatrie, 37-201-F-10, Paris : Elsevier, 16 p.</w:t>
      </w:r>
      <w:hyperlink r:id="rId5" w:tgtFrame="_blank" w:history="1">
        <w:r w:rsidRPr="00AF6C6E">
          <w:rPr>
            <w:rFonts w:ascii="Trebuchet MS" w:eastAsia="Times New Roman" w:hAnsi="Trebuchet MS" w:cs="Times New Roman"/>
            <w:b/>
            <w:bCs/>
            <w:color w:val="FF0000"/>
            <w:sz w:val="17"/>
            <w:szCs w:val="17"/>
            <w:u w:val="single"/>
            <w:lang w:eastAsia="fr-FR"/>
          </w:rPr>
          <w:t>[pdf]</w:t>
        </w:r>
      </w:hyperlink>
      <w:r w:rsidRPr="00AF6C6E">
        <w:rPr>
          <w:rFonts w:ascii="Trebuchet MS" w:eastAsia="Times New Roman" w:hAnsi="Trebuchet MS" w:cs="Times New Roman"/>
          <w:b/>
          <w:bCs/>
          <w:color w:val="000000"/>
          <w:sz w:val="17"/>
          <w:szCs w:val="17"/>
          <w:lang w:eastAsia="fr-FR"/>
        </w:rPr>
        <w:br/>
        <w:t>Corraze J. (1981). </w:t>
      </w:r>
      <w:r w:rsidRPr="00AF6C6E">
        <w:rPr>
          <w:rFonts w:ascii="Trebuchet MS" w:eastAsia="Times New Roman" w:hAnsi="Trebuchet MS" w:cs="Times New Roman"/>
          <w:b/>
          <w:bCs/>
          <w:i/>
          <w:iCs/>
          <w:color w:val="000000"/>
          <w:sz w:val="17"/>
          <w:szCs w:val="17"/>
          <w:lang w:eastAsia="fr-FR"/>
        </w:rPr>
        <w:t>Les troubles psychomoteurs de l'enfant.</w:t>
      </w:r>
      <w:r w:rsidRPr="00AF6C6E">
        <w:rPr>
          <w:rFonts w:ascii="Trebuchet MS" w:eastAsia="Times New Roman" w:hAnsi="Trebuchet MS" w:cs="Times New Roman"/>
          <w:b/>
          <w:bCs/>
          <w:color w:val="000000"/>
          <w:sz w:val="17"/>
          <w:szCs w:val="17"/>
          <w:lang w:eastAsia="fr-FR"/>
        </w:rPr>
        <w:t> Paris : Masson.</w:t>
      </w:r>
      <w:r w:rsidRPr="00AF6C6E">
        <w:rPr>
          <w:rFonts w:ascii="Trebuchet MS" w:eastAsia="Times New Roman" w:hAnsi="Trebuchet MS" w:cs="Times New Roman"/>
          <w:b/>
          <w:bCs/>
          <w:color w:val="000000"/>
          <w:sz w:val="17"/>
          <w:szCs w:val="17"/>
          <w:lang w:eastAsia="fr-FR"/>
        </w:rPr>
        <w:br/>
        <w:t>Corraze J. (1999). </w:t>
      </w:r>
      <w:r w:rsidRPr="00AF6C6E">
        <w:rPr>
          <w:rFonts w:ascii="Trebuchet MS" w:eastAsia="Times New Roman" w:hAnsi="Trebuchet MS" w:cs="Times New Roman"/>
          <w:b/>
          <w:bCs/>
          <w:i/>
          <w:iCs/>
          <w:color w:val="000000"/>
          <w:sz w:val="17"/>
          <w:szCs w:val="17"/>
          <w:lang w:eastAsia="fr-FR"/>
        </w:rPr>
        <w:t>Les troubles psychomoteurs.</w:t>
      </w:r>
      <w:r w:rsidRPr="00AF6C6E">
        <w:rPr>
          <w:rFonts w:ascii="Trebuchet MS" w:eastAsia="Times New Roman" w:hAnsi="Trebuchet MS" w:cs="Times New Roman"/>
          <w:b/>
          <w:bCs/>
          <w:color w:val="000000"/>
          <w:sz w:val="17"/>
          <w:szCs w:val="17"/>
          <w:lang w:eastAsia="fr-FR"/>
        </w:rPr>
        <w:t> Marseille : Solal.</w:t>
      </w:r>
      <w:r w:rsidRPr="00AF6C6E">
        <w:rPr>
          <w:rFonts w:ascii="Trebuchet MS" w:eastAsia="Times New Roman" w:hAnsi="Trebuchet MS" w:cs="Times New Roman"/>
          <w:b/>
          <w:bCs/>
          <w:color w:val="000000"/>
          <w:sz w:val="17"/>
          <w:szCs w:val="17"/>
          <w:lang w:eastAsia="fr-FR"/>
        </w:rPr>
        <w:br/>
        <w:t xml:space="preserve">Corraze, J. (2010). Psychomotricité : Histoire et validation d’un concept. In C. Matta Abi-Zeid &amp; J.-M. Albaret </w:t>
      </w:r>
      <w:r w:rsidRPr="00AF6C6E">
        <w:rPr>
          <w:rFonts w:ascii="Trebuchet MS" w:eastAsia="Times New Roman" w:hAnsi="Trebuchet MS" w:cs="Times New Roman"/>
          <w:b/>
          <w:bCs/>
          <w:color w:val="000000"/>
          <w:sz w:val="17"/>
          <w:szCs w:val="17"/>
          <w:lang w:eastAsia="fr-FR"/>
        </w:rPr>
        <w:lastRenderedPageBreak/>
        <w:t>(Eds.), </w:t>
      </w:r>
      <w:r w:rsidRPr="00AF6C6E">
        <w:rPr>
          <w:rFonts w:ascii="Trebuchet MS" w:eastAsia="Times New Roman" w:hAnsi="Trebuchet MS" w:cs="Times New Roman"/>
          <w:b/>
          <w:bCs/>
          <w:i/>
          <w:iCs/>
          <w:color w:val="000000"/>
          <w:sz w:val="17"/>
          <w:szCs w:val="17"/>
          <w:lang w:eastAsia="fr-FR"/>
        </w:rPr>
        <w:t>Regards sur la psychomotricité libanaise (2000-2010) : de la théorie à l’examen psychomoteur</w:t>
      </w:r>
      <w:r w:rsidRPr="00AF6C6E">
        <w:rPr>
          <w:rFonts w:ascii="Trebuchet MS" w:eastAsia="Times New Roman" w:hAnsi="Trebuchet MS" w:cs="Times New Roman"/>
          <w:b/>
          <w:bCs/>
          <w:color w:val="000000"/>
          <w:sz w:val="17"/>
          <w:szCs w:val="17"/>
          <w:lang w:eastAsia="fr-FR"/>
        </w:rPr>
        <w:t> (pp. 11-28). Beyrouth : Université Saint-Joseph.</w:t>
      </w:r>
      <w:hyperlink r:id="rId6" w:tgtFrame="_blank" w:history="1">
        <w:r w:rsidRPr="00AF6C6E">
          <w:rPr>
            <w:rFonts w:ascii="Trebuchet MS" w:eastAsia="Times New Roman" w:hAnsi="Trebuchet MS" w:cs="Times New Roman"/>
            <w:b/>
            <w:bCs/>
            <w:color w:val="FF0000"/>
            <w:sz w:val="17"/>
            <w:szCs w:val="17"/>
            <w:u w:val="single"/>
            <w:lang w:eastAsia="fr-FR"/>
          </w:rPr>
          <w:t>[pdf]</w:t>
        </w:r>
      </w:hyperlink>
      <w:bookmarkStart w:id="0" w:name="_GoBack"/>
      <w:bookmarkEnd w:id="0"/>
    </w:p>
    <w:sectPr w:rsidR="00F14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91"/>
    <w:rsid w:val="003E28BD"/>
    <w:rsid w:val="005779AF"/>
    <w:rsid w:val="00A46C6C"/>
    <w:rsid w:val="00AC3BBF"/>
    <w:rsid w:val="00AF6C6E"/>
    <w:rsid w:val="00C81F91"/>
    <w:rsid w:val="00EB2C0E"/>
    <w:rsid w:val="00ED4BED"/>
    <w:rsid w:val="00F14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4849F-9CA3-4CC8-8F15-A84EDF58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F6C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F6C6E"/>
    <w:rPr>
      <w:i/>
      <w:iCs/>
    </w:rPr>
  </w:style>
  <w:style w:type="character" w:styleId="Lienhypertexte">
    <w:name w:val="Hyperlink"/>
    <w:basedOn w:val="Policepardfaut"/>
    <w:uiPriority w:val="99"/>
    <w:semiHidden/>
    <w:unhideWhenUsed/>
    <w:rsid w:val="00AF6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ychomot.ups-tlse.fr/corraze2010.pdf" TargetMode="External"/><Relationship Id="rId5" Type="http://schemas.openxmlformats.org/officeDocument/2006/relationships/hyperlink" Target="http://www.psychomot.ups-tlse.fr/albaret2001.pdf"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4089</Characters>
  <Application>Microsoft Office Word</Application>
  <DocSecurity>0</DocSecurity>
  <Lines>34</Lines>
  <Paragraphs>9</Paragraphs>
  <ScaleCrop>false</ScaleCrop>
  <Company>Faculte medecine Rangueil</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soppelsa</dc:creator>
  <cp:keywords/>
  <dc:description/>
  <cp:lastModifiedBy>Régis soppelsa</cp:lastModifiedBy>
  <cp:revision>2</cp:revision>
  <dcterms:created xsi:type="dcterms:W3CDTF">2020-06-19T08:27:00Z</dcterms:created>
  <dcterms:modified xsi:type="dcterms:W3CDTF">2020-06-19T08:27:00Z</dcterms:modified>
</cp:coreProperties>
</file>